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B4" w:rsidRPr="00C95F49" w:rsidRDefault="005826B4" w:rsidP="005826B4">
      <w:pPr>
        <w:adjustRightInd w:val="0"/>
        <w:spacing w:line="8" w:lineRule="exact"/>
        <w:rPr>
          <w:rFonts w:asciiTheme="minorHAnsi" w:hAnsiTheme="minorHAnsi"/>
        </w:rPr>
      </w:pPr>
      <w:bookmarkStart w:id="0" w:name="_Toc503195245"/>
    </w:p>
    <w:p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MG5 - </w:t>
      </w:r>
      <w:r>
        <w:rPr>
          <w:rFonts w:ascii="Sylfaen" w:hAnsi="Sylfaen" w:cs="Times New Roman"/>
          <w:lang w:val="ka-GE"/>
        </w:rPr>
        <w:t>აპლიკანტის განცხადება</w:t>
      </w:r>
    </w:p>
    <w:p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rsidR="005826B4" w:rsidRPr="00B030E5" w:rsidRDefault="005826B4" w:rsidP="005826B4">
      <w:pPr>
        <w:jc w:val="center"/>
        <w:rPr>
          <w:rFonts w:asciiTheme="minorHAnsi" w:hAnsiTheme="minorHAnsi"/>
        </w:rPr>
      </w:pPr>
    </w:p>
    <w:p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მიერ განხორციელებულ თანადაფინანსების გრანტები სტარტაპებისთვის პროგრამის ფარგლებში გამოცხადებული კონკუსში და ცნობს, რომ</w:t>
      </w:r>
      <w:r w:rsidRPr="00C95F49">
        <w:rPr>
          <w:rFonts w:asciiTheme="minorHAnsi" w:hAnsiTheme="minorHAnsi"/>
          <w:b/>
          <w:lang w:val="sr-Latn-CS"/>
        </w:rPr>
        <w:t>:</w:t>
      </w:r>
    </w:p>
    <w:p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rsidR="005826B4" w:rsidRPr="00A7252C" w:rsidRDefault="005826B4" w:rsidP="005826B4">
      <w:pPr>
        <w:spacing w:after="120"/>
        <w:jc w:val="both"/>
        <w:rPr>
          <w:rFonts w:asciiTheme="minorHAnsi" w:hAnsiTheme="minorHAnsi"/>
          <w:lang w:val="ka-GE"/>
        </w:rPr>
      </w:pPr>
      <w:r>
        <w:rPr>
          <w:rFonts w:ascii="Sylfaen" w:hAnsi="Sylfaen"/>
          <w:lang w:val="ka-GE"/>
        </w:rPr>
        <w:t xml:space="preserve">განმცხადებელი არ არღვევს საქართველოს საგადასახადო კოდექსით განსაზღვრულ საგადასახადო ვალდებულებებს,.  </w:t>
      </w:r>
    </w:p>
    <w:p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Pr>
          <w:rFonts w:ascii="Sylfaen" w:hAnsi="Sylfaen"/>
          <w:lang w:val="ka-GE"/>
        </w:rPr>
        <w:t xml:space="preserve">თანადაფინანსების გრანტები სტარტაპებისთვის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თანადაფინანსების გრანტები სტარტაპებისთვის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rsidR="005826B4" w:rsidRDefault="005826B4" w:rsidP="005826B4">
      <w:pPr>
        <w:spacing w:after="120"/>
        <w:jc w:val="both"/>
        <w:rPr>
          <w:rFonts w:asciiTheme="minorHAnsi" w:hAnsiTheme="minorHAnsi"/>
          <w:lang w:val="sr-Latn-CS"/>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sidRPr="006A48A0">
        <w:rPr>
          <w:rFonts w:ascii="Sylfaen" w:hAnsi="Sylfaen"/>
          <w:lang w:val="ka-GE"/>
        </w:rPr>
        <w:t>და</w:t>
      </w:r>
      <w:r w:rsidRPr="00C00630">
        <w:rPr>
          <w:rFonts w:ascii="Sylfaen" w:hAnsi="Sylfaen"/>
          <w:lang w:val="ka-GE"/>
        </w:rPr>
        <w:t>/</w:t>
      </w:r>
      <w:r w:rsidRPr="006A48A0">
        <w:rPr>
          <w:rFonts w:ascii="Sylfaen" w:hAnsi="Sylfaen"/>
          <w:lang w:val="ka-GE"/>
        </w:rPr>
        <w:t>ან</w:t>
      </w:r>
      <w:r>
        <w:rPr>
          <w:rFonts w:ascii="Sylfaen" w:hAnsi="Sylfaen"/>
          <w:lang w:val="ka-GE"/>
        </w:rPr>
        <w:t xml:space="preserve"> მსოფლიო ბანკს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 xml:space="preserve">ჩაატარონ პროექტთან დაკავშირებული ანგარიშების, ჩანაწერების და სხვა დოკუმენტაციის შემოწმება და აუდიტი. </w:t>
      </w:r>
    </w:p>
    <w:p w:rsidR="00F42912" w:rsidRPr="002C3BB7" w:rsidRDefault="00F42912" w:rsidP="00F42912">
      <w:pPr>
        <w:spacing w:after="120"/>
        <w:jc w:val="both"/>
        <w:rPr>
          <w:rFonts w:ascii="Sylfaen" w:hAnsi="Sylfaen"/>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w:t>
      </w:r>
      <w:proofErr w:type="spellStart"/>
      <w:r w:rsidRPr="002C3BB7">
        <w:rPr>
          <w:rFonts w:ascii="Sylfaen" w:hAnsi="Sylfaen"/>
        </w:rPr>
        <w:t>შემოსავლების</w:t>
      </w:r>
      <w:proofErr w:type="spellEnd"/>
      <w:r w:rsidRPr="002C3BB7">
        <w:rPr>
          <w:rFonts w:ascii="Sylfaen" w:hAnsi="Sylfaen"/>
        </w:rPr>
        <w:t xml:space="preserve"> </w:t>
      </w:r>
      <w:proofErr w:type="spellStart"/>
      <w:r w:rsidRPr="002C3BB7">
        <w:rPr>
          <w:rFonts w:ascii="Sylfaen" w:hAnsi="Sylfaen"/>
        </w:rPr>
        <w:t>სამსახურის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საიდუმლოების</w:t>
      </w:r>
      <w:proofErr w:type="spellEnd"/>
      <w:r w:rsidRPr="002C3BB7">
        <w:rPr>
          <w:rFonts w:ascii="Sylfaen" w:hAnsi="Sylfaen"/>
        </w:rPr>
        <w:t xml:space="preserve"> </w:t>
      </w:r>
      <w:proofErr w:type="spellStart"/>
      <w:r w:rsidRPr="002C3BB7">
        <w:rPr>
          <w:rFonts w:ascii="Sylfaen" w:hAnsi="Sylfaen"/>
        </w:rPr>
        <w:t>შემცველი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დღგ</w:t>
      </w:r>
      <w:proofErr w:type="spellEnd"/>
      <w:r w:rsidRPr="002C3BB7">
        <w:rPr>
          <w:rFonts w:ascii="Sylfaen" w:hAnsi="Sylfaen"/>
        </w:rPr>
        <w:t xml:space="preserve">-ს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საშემოსავლო</w:t>
      </w:r>
      <w:proofErr w:type="spellEnd"/>
      <w:r w:rsidRPr="002C3BB7">
        <w:rPr>
          <w:rFonts w:ascii="Sylfaen" w:hAnsi="Sylfaen"/>
        </w:rPr>
        <w:t xml:space="preserve"> </w:t>
      </w:r>
      <w:proofErr w:type="spellStart"/>
      <w:r w:rsidRPr="002C3BB7">
        <w:rPr>
          <w:rFonts w:ascii="Sylfaen" w:hAnsi="Sylfaen"/>
        </w:rPr>
        <w:t>გადასახადის</w:t>
      </w:r>
      <w:proofErr w:type="spellEnd"/>
      <w:r w:rsidRPr="002C3BB7">
        <w:rPr>
          <w:rFonts w:ascii="Sylfaen" w:hAnsi="Sylfaen"/>
        </w:rPr>
        <w:t xml:space="preserve">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და</w:t>
      </w:r>
      <w:proofErr w:type="spellEnd"/>
      <w:r w:rsidRPr="002C3BB7">
        <w:rPr>
          <w:rFonts w:ascii="Sylfaen" w:hAnsi="Sylfaen"/>
        </w:rPr>
        <w:t xml:space="preserve"> </w:t>
      </w:r>
      <w:proofErr w:type="spellStart"/>
      <w:r w:rsidRPr="002C3BB7">
        <w:rPr>
          <w:rFonts w:ascii="Sylfaen" w:hAnsi="Sylfaen"/>
        </w:rPr>
        <w:t>სხვა</w:t>
      </w:r>
      <w:proofErr w:type="spellEnd"/>
      <w:r w:rsidRPr="002C3BB7">
        <w:rPr>
          <w:rFonts w:ascii="Sylfaen" w:hAnsi="Sylfaen"/>
        </w:rPr>
        <w:t>). </w:t>
      </w:r>
    </w:p>
    <w:p w:rsidR="00F42912" w:rsidRPr="00BE4724" w:rsidRDefault="00F42912" w:rsidP="00F42912">
      <w:pPr>
        <w:spacing w:after="120"/>
        <w:jc w:val="both"/>
        <w:rPr>
          <w:rFonts w:asciiTheme="minorHAnsi" w:hAnsiTheme="minorHAnsi"/>
          <w:lang w:val="sr-Latn-CS"/>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xml:space="preserve"> </w:t>
      </w:r>
      <w:proofErr w:type="spellStart"/>
      <w:r w:rsidRPr="002C3BB7">
        <w:rPr>
          <w:rFonts w:ascii="Sylfaen" w:hAnsi="Sylfaen"/>
        </w:rPr>
        <w:t>სახელმწიფო</w:t>
      </w:r>
      <w:proofErr w:type="spellEnd"/>
      <w:r w:rsidRPr="002C3BB7">
        <w:rPr>
          <w:rFonts w:ascii="Sylfaen" w:hAnsi="Sylfaen"/>
        </w:rPr>
        <w:t xml:space="preserve"> </w:t>
      </w:r>
      <w:proofErr w:type="spellStart"/>
      <w:r w:rsidRPr="002C3BB7">
        <w:rPr>
          <w:rFonts w:ascii="Sylfaen" w:hAnsi="Sylfaen"/>
        </w:rPr>
        <w:t>სერვისების</w:t>
      </w:r>
      <w:proofErr w:type="spellEnd"/>
      <w:r w:rsidRPr="002C3BB7">
        <w:rPr>
          <w:rFonts w:ascii="Sylfaen" w:hAnsi="Sylfaen"/>
        </w:rPr>
        <w:t xml:space="preserve"> </w:t>
      </w:r>
      <w:proofErr w:type="spellStart"/>
      <w:r w:rsidRPr="002C3BB7">
        <w:rPr>
          <w:rFonts w:ascii="Sylfaen" w:hAnsi="Sylfaen"/>
        </w:rPr>
        <w:t>განვითარების</w:t>
      </w:r>
      <w:proofErr w:type="spellEnd"/>
      <w:r w:rsidRPr="002C3BB7">
        <w:rPr>
          <w:rFonts w:ascii="Sylfaen" w:hAnsi="Sylfaen"/>
        </w:rPr>
        <w:t xml:space="preserve"> </w:t>
      </w:r>
      <w:proofErr w:type="spellStart"/>
      <w:r w:rsidRPr="002C3BB7">
        <w:rPr>
          <w:rFonts w:ascii="Sylfaen" w:hAnsi="Sylfaen"/>
        </w:rPr>
        <w:t>სააგენტოს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პერსონალურ</w:t>
      </w:r>
      <w:proofErr w:type="spellEnd"/>
      <w:r w:rsidRPr="002C3BB7">
        <w:rPr>
          <w:rFonts w:ascii="Sylfaen" w:hAnsi="Sylfaen"/>
        </w:rPr>
        <w:t xml:space="preserve"> </w:t>
      </w:r>
      <w:proofErr w:type="spellStart"/>
      <w:r w:rsidRPr="002C3BB7">
        <w:rPr>
          <w:rFonts w:ascii="Sylfaen" w:hAnsi="Sylfaen"/>
        </w:rPr>
        <w:t>მონაცემებთან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სახელი</w:t>
      </w:r>
      <w:proofErr w:type="spellEnd"/>
      <w:r w:rsidRPr="002C3BB7">
        <w:rPr>
          <w:rFonts w:ascii="Sylfaen" w:hAnsi="Sylfaen"/>
        </w:rPr>
        <w:t xml:space="preserve">, </w:t>
      </w:r>
      <w:proofErr w:type="spellStart"/>
      <w:r w:rsidRPr="002C3BB7">
        <w:rPr>
          <w:rFonts w:ascii="Sylfaen" w:hAnsi="Sylfaen"/>
        </w:rPr>
        <w:t>გვარი</w:t>
      </w:r>
      <w:proofErr w:type="spellEnd"/>
      <w:r w:rsidRPr="002C3BB7">
        <w:rPr>
          <w:rFonts w:ascii="Sylfaen" w:hAnsi="Sylfaen"/>
        </w:rPr>
        <w:t xml:space="preserve">,  </w:t>
      </w:r>
      <w:proofErr w:type="spellStart"/>
      <w:r w:rsidRPr="002C3BB7">
        <w:rPr>
          <w:rFonts w:ascii="Sylfaen" w:hAnsi="Sylfaen"/>
        </w:rPr>
        <w:t>რეგისტრაციის</w:t>
      </w:r>
      <w:proofErr w:type="spellEnd"/>
      <w:r w:rsidRPr="002C3BB7">
        <w:rPr>
          <w:rFonts w:ascii="Sylfaen" w:hAnsi="Sylfaen"/>
        </w:rPr>
        <w:t xml:space="preserve"> </w:t>
      </w:r>
      <w:proofErr w:type="spellStart"/>
      <w:r w:rsidRPr="002C3BB7">
        <w:rPr>
          <w:rFonts w:ascii="Sylfaen" w:hAnsi="Sylfaen"/>
        </w:rPr>
        <w:t>მისამართი</w:t>
      </w:r>
      <w:proofErr w:type="spellEnd"/>
      <w:r w:rsidRPr="002C3BB7">
        <w:rPr>
          <w:rFonts w:ascii="Sylfaen" w:hAnsi="Sylfaen"/>
        </w:rPr>
        <w:t xml:space="preserve">, </w:t>
      </w:r>
      <w:proofErr w:type="spellStart"/>
      <w:r w:rsidRPr="002C3BB7">
        <w:rPr>
          <w:rFonts w:ascii="Sylfaen" w:hAnsi="Sylfaen"/>
        </w:rPr>
        <w:t>პირადი</w:t>
      </w:r>
      <w:proofErr w:type="spellEnd"/>
      <w:r w:rsidRPr="002C3BB7">
        <w:rPr>
          <w:rFonts w:ascii="Sylfaen" w:hAnsi="Sylfaen"/>
        </w:rPr>
        <w:t xml:space="preserve"> </w:t>
      </w:r>
      <w:proofErr w:type="spellStart"/>
      <w:r w:rsidRPr="002C3BB7">
        <w:rPr>
          <w:rFonts w:ascii="Sylfaen" w:hAnsi="Sylfaen"/>
        </w:rPr>
        <w:t>ნომერი</w:t>
      </w:r>
      <w:proofErr w:type="spellEnd"/>
      <w:r w:rsidRPr="002C3BB7">
        <w:rPr>
          <w:rFonts w:ascii="Sylfaen" w:hAnsi="Sylfaen"/>
        </w:rPr>
        <w:t xml:space="preserve">, </w:t>
      </w:r>
      <w:proofErr w:type="spellStart"/>
      <w:r w:rsidRPr="002C3BB7">
        <w:rPr>
          <w:rFonts w:ascii="Sylfaen" w:hAnsi="Sylfaen"/>
        </w:rPr>
        <w:t>სქესი</w:t>
      </w:r>
      <w:proofErr w:type="spellEnd"/>
      <w:r w:rsidRPr="002C3BB7">
        <w:rPr>
          <w:rFonts w:ascii="Sylfaen" w:hAnsi="Sylfaen"/>
        </w:rPr>
        <w:t xml:space="preserve">, </w:t>
      </w:r>
      <w:proofErr w:type="spellStart"/>
      <w:r w:rsidRPr="002C3BB7">
        <w:rPr>
          <w:rFonts w:ascii="Sylfaen" w:hAnsi="Sylfaen"/>
        </w:rPr>
        <w:t>დაბადების</w:t>
      </w:r>
      <w:proofErr w:type="spellEnd"/>
      <w:r w:rsidRPr="002C3BB7">
        <w:rPr>
          <w:rFonts w:ascii="Sylfaen" w:hAnsi="Sylfaen"/>
        </w:rPr>
        <w:t xml:space="preserve"> </w:t>
      </w:r>
      <w:proofErr w:type="spellStart"/>
      <w:r w:rsidRPr="002C3BB7">
        <w:rPr>
          <w:rFonts w:ascii="Sylfaen" w:hAnsi="Sylfaen"/>
        </w:rPr>
        <w:t>თარიღი</w:t>
      </w:r>
      <w:proofErr w:type="spellEnd"/>
      <w:r w:rsidRPr="002C3BB7">
        <w:rPr>
          <w:rFonts w:ascii="Sylfaen" w:hAnsi="Sylfaen"/>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ექვდმებარება გასაჩივრებას ამავე </w:t>
      </w:r>
      <w:r w:rsidRPr="003B6E74">
        <w:rPr>
          <w:rFonts w:ascii="Sylfaen" w:hAnsi="Sylfaen"/>
          <w:lang w:val="ka-GE"/>
        </w:rPr>
        <w:lastRenderedPageBreak/>
        <w:t xml:space="preserve">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პასუხს არ აგებს შეფასების შედეგებზე ან გადაწყვეტილების შინაარსზე</w:t>
      </w:r>
      <w:r w:rsidRPr="00C00630">
        <w:rPr>
          <w:rFonts w:ascii="Sylfaen" w:hAnsi="Sylfaen"/>
          <w:lang w:val="ka-GE"/>
        </w:rPr>
        <w:t>.</w:t>
      </w:r>
    </w:p>
    <w:p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შეხედულებისამებრ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პირობების შესრულებაზე. </w:t>
      </w:r>
      <w:r w:rsidRPr="00C00630">
        <w:rPr>
          <w:rFonts w:ascii="Sylfaen" w:hAnsi="Sylfaen"/>
          <w:lang w:val="ka-GE"/>
        </w:rPr>
        <w:t xml:space="preserve">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პროექტს განახორციელებს სათანადოდ და ეფექტურად, თანადაფინანსების გრანტები სტარტაპებისთვის პროგრამის და საგრანტო ხელშეკრულების პირობების შესაბამისად და </w:t>
      </w:r>
      <w:r w:rsidRPr="00C00630">
        <w:rPr>
          <w:rFonts w:ascii="Sylfaen" w:hAnsi="Sylfaen"/>
          <w:lang w:val="ka-GE"/>
        </w:rPr>
        <w:t xml:space="preserve"> GITA</w:t>
      </w:r>
      <w:r>
        <w:rPr>
          <w:rFonts w:ascii="Sylfaen" w:hAnsi="Sylfaen"/>
          <w:lang w:val="ka-GE"/>
        </w:rPr>
        <w:t>-სათვის და მსოფლიო ბანკისათვის მისაღები</w:t>
      </w:r>
      <w:r w:rsidRPr="00C00630">
        <w:rPr>
          <w:rFonts w:ascii="Sylfaen" w:hAnsi="Sylfaen"/>
          <w:lang w:val="ka-GE"/>
        </w:rPr>
        <w:t xml:space="preserve"> </w:t>
      </w:r>
      <w:r>
        <w:rPr>
          <w:rFonts w:ascii="Sylfaen" w:hAnsi="Sylfaen"/>
          <w:lang w:val="ka-GE"/>
        </w:rPr>
        <w:t>მყარი ტექნიკური, ეკონომიკური, ფინანსური, მენეჯმენტის, ბუნებრივ და სოციალურ გარემოზე ზემოქმედების სტანდარტების და პრაქტიკის თანახმად</w:t>
      </w:r>
      <w:r w:rsidRPr="00C00630">
        <w:rPr>
          <w:rFonts w:ascii="Sylfaen" w:hAnsi="Sylfaen"/>
          <w:lang w:val="ka-GE"/>
        </w:rPr>
        <w:t xml:space="preserve">, </w:t>
      </w:r>
      <w:r>
        <w:rPr>
          <w:rFonts w:ascii="Sylfaen" w:hAnsi="Sylfaen"/>
          <w:lang w:val="ka-GE"/>
        </w:rPr>
        <w:t>რაც ასევე გულისხმობს 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w:t>
      </w:r>
      <w:r w:rsidRPr="006A48A0">
        <w:rPr>
          <w:rFonts w:ascii="Sylfaen" w:hAnsi="Sylfaen"/>
          <w:lang w:val="ka-GE"/>
        </w:rPr>
        <w:t>შესაბამისობას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საბუღალტრო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 xml:space="preserve">-სათვის და მსოფლიო ბანკისათვის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r>
        <w:rPr>
          <w:rFonts w:ascii="Sylfaen" w:hAnsi="Sylfaen"/>
          <w:lang w:val="ka-GE"/>
        </w:rPr>
        <w:t xml:space="preserve">ე.ი.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სალიცენზიო ხელშეკრულებებით  და სხვა კონტრაქტებით, და ა.შ.</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rsidR="005826B4" w:rsidRPr="00782686"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მსოფლიო ბანკის შავ სიაში აღრიცხულ არც-ერთ საწარმოსთან არ </w:t>
      </w:r>
      <w:r>
        <w:rPr>
          <w:rFonts w:ascii="Sylfaen" w:hAnsi="Sylfaen"/>
          <w:lang w:val="ka-GE"/>
        </w:rPr>
        <w:lastRenderedPageBreak/>
        <w:t xml:space="preserve">გაფორმდება ხელშეკრულება. გარდა ამისა, განმცხადებლის მიერ მომწოდებლებთან და კონსულტანტებთან გაფორმებული კონტრაქტები უნდა შეიცავდეს თაღლითობასა და კორუფციასთან დაკავშირებულ მსოფლიო ბანკის სტანდარტული პირობების მუხლებს.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ასეთის საჭიროების 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rsidR="005826B4" w:rsidRPr="00C00630" w:rsidRDefault="005826B4" w:rsidP="005826B4">
      <w:pPr>
        <w:jc w:val="both"/>
        <w:rPr>
          <w:rFonts w:ascii="Sylfaen" w:hAnsi="Sylfaen"/>
          <w:lang w:val="ka-GE"/>
        </w:rPr>
      </w:pPr>
      <w:r>
        <w:rPr>
          <w:rFonts w:ascii="Sylfaen" w:hAnsi="Sylfaen"/>
          <w:lang w:val="ka-GE"/>
        </w:rPr>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შეუსატყვისობით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rsidR="005826B4" w:rsidRPr="00C00630" w:rsidRDefault="005826B4" w:rsidP="005826B4">
      <w:pPr>
        <w:jc w:val="both"/>
        <w:rPr>
          <w:rFonts w:ascii="Sylfaen" w:hAnsi="Sylfaen"/>
          <w:lang w:val="ka-GE"/>
        </w:rPr>
      </w:pPr>
      <w:r w:rsidRPr="00C00630">
        <w:rPr>
          <w:rFonts w:ascii="Sylfaen" w:hAnsi="Sylfaen"/>
          <w:lang w:val="ka-GE"/>
        </w:rPr>
        <w:t>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ბანკი წინამდებარე დებულების მიზნებისათვის შემდეგნაირად განსაზღვრავს ქვემოთ მოცემულ ტერმინებს:</w:t>
      </w:r>
    </w:p>
    <w:p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rsidR="005826B4" w:rsidRPr="00C00630" w:rsidRDefault="005826B4" w:rsidP="005826B4">
      <w:pPr>
        <w:jc w:val="both"/>
        <w:rPr>
          <w:rFonts w:ascii="Sylfaen" w:hAnsi="Sylfaen"/>
          <w:lang w:val="ka-GE"/>
        </w:rPr>
      </w:pPr>
      <w:r w:rsidRPr="00C00630">
        <w:rPr>
          <w:rFonts w:ascii="Sylfaen" w:hAnsi="Sylfaen"/>
          <w:lang w:val="ka-GE"/>
        </w:rPr>
        <w:t>(გ) “საიდუმლო გარიგება” ნიშნავს საიდუმლო გარიგებას ორ ან მეტ მხარეს შორის, გაუთვიცნობიერებლად ან გათვიცნობიერებით,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rsidR="005826B4" w:rsidRPr="00C00630" w:rsidRDefault="005826B4" w:rsidP="005826B4">
      <w:pPr>
        <w:ind w:left="720"/>
        <w:jc w:val="both"/>
        <w:rPr>
          <w:rFonts w:ascii="Sylfaen" w:hAnsi="Sylfaen"/>
          <w:lang w:val="ka-GE"/>
        </w:rPr>
      </w:pPr>
      <w:r w:rsidRPr="00C00630">
        <w:rPr>
          <w:rFonts w:ascii="Sylfaen" w:hAnsi="Sylfaen"/>
          <w:lang w:val="ka-GE"/>
        </w:rPr>
        <w:t>(აა)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ბანკის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rsidR="005826B4" w:rsidRPr="00C00630" w:rsidRDefault="005826B4" w:rsidP="005826B4">
      <w:pPr>
        <w:ind w:firstLine="720"/>
        <w:jc w:val="both"/>
        <w:rPr>
          <w:rFonts w:ascii="Sylfaen" w:hAnsi="Sylfaen"/>
          <w:lang w:val="ka-GE"/>
        </w:rPr>
      </w:pPr>
      <w:r w:rsidRPr="00C00630">
        <w:rPr>
          <w:rFonts w:ascii="Sylfaen" w:hAnsi="Sylfaen"/>
          <w:lang w:val="ka-GE"/>
        </w:rPr>
        <w:t xml:space="preserve">(ბბ) </w:t>
      </w:r>
      <w:r>
        <w:rPr>
          <w:rFonts w:ascii="Sylfaen" w:hAnsi="Sylfaen"/>
          <w:lang w:val="ka-GE"/>
        </w:rPr>
        <w:t>ისეთი ქმედებები</w:t>
      </w:r>
      <w:r w:rsidRPr="00C00630">
        <w:rPr>
          <w:rFonts w:ascii="Sylfaen" w:hAnsi="Sylfaen"/>
          <w:lang w:val="ka-GE"/>
        </w:rPr>
        <w:t>, რომელიც მნიშვნელოვნად უშლის ხელს ბანკის ინსპექციისა და აუდიტის უფლების განხორციელებას.</w:t>
      </w:r>
    </w:p>
    <w:p w:rsidR="005826B4" w:rsidRPr="00C00630" w:rsidRDefault="005826B4" w:rsidP="005826B4">
      <w:pPr>
        <w:jc w:val="both"/>
        <w:rPr>
          <w:rFonts w:ascii="Sylfaen" w:hAnsi="Sylfaen"/>
          <w:lang w:val="ka-GE"/>
        </w:rPr>
      </w:pPr>
      <w:r w:rsidRPr="00C00630">
        <w:rPr>
          <w:rFonts w:ascii="Sylfaen" w:hAnsi="Sylfaen"/>
          <w:lang w:val="ka-GE"/>
        </w:rPr>
        <w:t xml:space="preserve">პროექტის წარმოდგენის, შეფასების და განხორციელების პროცესში განმცხადებელი დაიცავს </w:t>
      </w:r>
      <w:r>
        <w:rPr>
          <w:rFonts w:ascii="Sylfaen" w:hAnsi="Sylfaen"/>
          <w:lang w:val="ka-GE"/>
        </w:rPr>
        <w:t>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შესატყვისობას და იმ დებულებებს, </w:t>
      </w:r>
      <w:r w:rsidRPr="00C00630">
        <w:rPr>
          <w:rFonts w:ascii="Sylfaen" w:hAnsi="Sylfaen"/>
          <w:lang w:val="ka-GE"/>
        </w:rPr>
        <w:t xml:space="preserve"> რაც უზრუნველყოფილია ბანკის შესყიდვების სახელმძღვანელო პრინციპების პარაგრაფის 1.16 და სახელმძღვანელო პრინციპები კონსულტანტებისათვის პარაგრაფის 1.23 საფუძველზე.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rsidR="005826B4" w:rsidRDefault="005826B4" w:rsidP="005826B4">
      <w:pPr>
        <w:spacing w:after="120"/>
        <w:jc w:val="both"/>
        <w:rPr>
          <w:rFonts w:ascii="Sylfaen" w:hAnsi="Sylfaen"/>
          <w:lang w:val="ka-GE"/>
        </w:r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 xml:space="preserve">-სთან ან შეფასების პროცესში 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w:t>
      </w:r>
      <w:r>
        <w:rPr>
          <w:rFonts w:ascii="Sylfaen" w:hAnsi="Sylfaen"/>
          <w:lang w:val="ka-GE"/>
        </w:rPr>
        <w:lastRenderedPageBreak/>
        <w:t>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rsidR="002C3BB7" w:rsidRPr="002C3BB7" w:rsidRDefault="002C3BB7" w:rsidP="002C3BB7">
      <w:pPr>
        <w:spacing w:after="120"/>
        <w:jc w:val="both"/>
        <w:rPr>
          <w:rFonts w:ascii="Sylfaen" w:hAnsi="Sylfaen"/>
        </w:rPr>
        <w:sectPr w:rsidR="002C3BB7" w:rsidRPr="002C3BB7" w:rsidSect="005A536D">
          <w:pgSz w:w="11907" w:h="16839" w:code="9"/>
          <w:pgMar w:top="1152" w:right="547" w:bottom="1152" w:left="547" w:header="720" w:footer="720" w:gutter="0"/>
          <w:cols w:space="720"/>
          <w:docGrid w:linePitch="360"/>
        </w:sectPr>
      </w:pPr>
    </w:p>
    <w:p w:rsidR="005826B4" w:rsidRPr="005826B4" w:rsidRDefault="005826B4" w:rsidP="005826B4">
      <w:pPr>
        <w:spacing w:after="120"/>
        <w:jc w:val="both"/>
        <w:rPr>
          <w:rFonts w:ascii="Sylfaen" w:hAnsi="Sylfaen"/>
          <w:lang w:val="ka-GE"/>
        </w:rPr>
      </w:pPr>
    </w:p>
    <w:p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rsidR="00F434CE" w:rsidRPr="007122C5" w:rsidRDefault="00F434CE" w:rsidP="00F434CE">
      <w:pPr>
        <w:jc w:val="center"/>
        <w:rPr>
          <w:rFonts w:asciiTheme="minorHAnsi" w:hAnsiTheme="minorHAnsi"/>
          <w:lang w:val="sr-Latn-CS"/>
        </w:rPr>
      </w:pP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Pr>
          <w:rFonts w:asciiTheme="minorHAnsi" w:hAnsiTheme="minorHAnsi"/>
          <w:b/>
          <w:lang w:val="sr-Latn-CS"/>
        </w:rPr>
        <w:t>Startup Matching Grants</w:t>
      </w:r>
      <w:r w:rsidRPr="007122C5">
        <w:rPr>
          <w:rFonts w:asciiTheme="minorHAnsi" w:hAnsiTheme="minorHAnsi"/>
          <w:b/>
          <w:lang w:val="sr-Latn-CS"/>
        </w:rPr>
        <w:t>, implemented by Georgia's Innovation and Technology Agency (hereinafter referred to as GITA) and acknowledges that:</w:t>
      </w: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Eligibility</w:t>
      </w:r>
    </w:p>
    <w:p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p>
    <w:p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Use of Information</w:t>
      </w:r>
    </w:p>
    <w:p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Pr>
          <w:rFonts w:asciiTheme="minorHAnsi" w:hAnsiTheme="minorHAnsi"/>
        </w:rPr>
        <w:t>Startup Matching Grants</w:t>
      </w:r>
      <w:r w:rsidRPr="007122C5">
        <w:rPr>
          <w:rFonts w:asciiTheme="minorHAnsi" w:hAnsiTheme="minorHAnsi"/>
        </w:rPr>
        <w:t>,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rsidR="00F434CE" w:rsidRPr="007122C5" w:rsidRDefault="00F434CE" w:rsidP="002C3BB7">
      <w:pPr>
        <w:pStyle w:val="ListParagraph"/>
        <w:numPr>
          <w:ilvl w:val="0"/>
          <w:numId w:val="4"/>
        </w:numPr>
        <w:jc w:val="both"/>
        <w:rPr>
          <w:rFonts w:asciiTheme="minorHAnsi" w:hAnsiTheme="minorHAnsi"/>
          <w:b/>
        </w:rPr>
      </w:pPr>
      <w:r w:rsidRPr="007122C5">
        <w:rPr>
          <w:rFonts w:asciiTheme="minorHAnsi" w:hAnsiTheme="minorHAnsi"/>
          <w:b/>
        </w:rPr>
        <w:t>Requests for information</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Pr>
          <w:rFonts w:asciiTheme="minorHAnsi" w:hAnsiTheme="minorHAnsi"/>
          <w:lang w:val="sr-Latn-CS"/>
        </w:rPr>
        <w:t>Startup Matching Grants</w:t>
      </w:r>
      <w:r w:rsidRPr="007122C5">
        <w:rPr>
          <w:rFonts w:asciiTheme="minorHAnsi" w:hAnsiTheme="minorHAnsi"/>
          <w:lang w:val="sr-Latn-CS"/>
        </w:rPr>
        <w:t xml:space="preserve"> to enable GITA to monitor and evaluate the project implenetation progress and its compliance to set objectives;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Pr>
          <w:rFonts w:asciiTheme="minorHAnsi" w:hAnsiTheme="minorHAnsi"/>
        </w:rPr>
        <w:t>Startup Matching Grants</w:t>
      </w:r>
      <w:r w:rsidRPr="007122C5">
        <w:rPr>
          <w:rFonts w:asciiTheme="minorHAnsi" w:hAnsiTheme="minorHAnsi"/>
        </w:rPr>
        <w:t xml:space="preserve"> documents and fully and irrevocably agree that all </w:t>
      </w:r>
      <w:r>
        <w:rPr>
          <w:rFonts w:asciiTheme="minorHAnsi" w:hAnsiTheme="minorHAnsi"/>
        </w:rPr>
        <w:t>Startup Matching Grants</w:t>
      </w:r>
      <w:r w:rsidRPr="007122C5">
        <w:rPr>
          <w:rFonts w:asciiTheme="minorHAnsi" w:hAnsiTheme="minorHAnsi"/>
        </w:rPr>
        <w:t xml:space="preserve"> documents are binding for the Applicant and that these documents will be considered as integral part of the Financing Agreement.</w:t>
      </w:r>
    </w:p>
    <w:p w:rsidR="00F434CE" w:rsidRDefault="00F434CE" w:rsidP="00F434CE">
      <w:pPr>
        <w:jc w:val="both"/>
        <w:rPr>
          <w:rFonts w:asciiTheme="minorHAnsi" w:hAnsiTheme="minorHAnsi"/>
        </w:rPr>
      </w:pPr>
      <w:r w:rsidRPr="007122C5">
        <w:rPr>
          <w:rFonts w:asciiTheme="minorHAnsi" w:hAnsiTheme="minorHAnsi"/>
        </w:rPr>
        <w:t>The Applicant will allow GITA and / or the World Bank and / or persons or auditors appointed by GITA to examine and audit the accounts, records and other documents related to the project;</w:t>
      </w:r>
    </w:p>
    <w:p w:rsidR="009A72FD" w:rsidRPr="002C3BB7" w:rsidRDefault="009A72FD" w:rsidP="009A72FD">
      <w:pPr>
        <w:pStyle w:val="ListParagraph"/>
        <w:ind w:left="0" w:firstLine="0"/>
        <w:jc w:val="both"/>
        <w:rPr>
          <w:rFonts w:asciiTheme="minorHAnsi" w:hAnsiTheme="minorHAnsi"/>
        </w:rPr>
      </w:pPr>
      <w:r>
        <w:rPr>
          <w:rFonts w:asciiTheme="minorHAnsi" w:hAnsiTheme="minorHAnsi"/>
        </w:rPr>
        <w:t xml:space="preserve">The applicant agrees that GITA </w:t>
      </w:r>
      <w:r w:rsidRPr="002C3BB7">
        <w:rPr>
          <w:rFonts w:asciiTheme="minorHAnsi" w:hAnsiTheme="minorHAnsi"/>
        </w:rPr>
        <w:t xml:space="preserve">shall request tax information relating to the </w:t>
      </w:r>
      <w:r>
        <w:rPr>
          <w:rFonts w:asciiTheme="minorHAnsi" w:hAnsiTheme="minorHAnsi"/>
        </w:rPr>
        <w:t xml:space="preserve">tax information from </w:t>
      </w:r>
      <w:r w:rsidRPr="002C3BB7">
        <w:rPr>
          <w:rFonts w:asciiTheme="minorHAnsi" w:hAnsiTheme="minorHAnsi"/>
        </w:rPr>
        <w:t xml:space="preserve">information database </w:t>
      </w:r>
      <w:r>
        <w:rPr>
          <w:rFonts w:asciiTheme="minorHAnsi" w:hAnsiTheme="minorHAnsi"/>
        </w:rPr>
        <w:t>of the</w:t>
      </w:r>
      <w:r w:rsidRPr="002C3BB7">
        <w:rPr>
          <w:rFonts w:asciiTheme="minorHAnsi" w:hAnsiTheme="minorHAnsi"/>
        </w:rPr>
        <w:t xml:space="preserve"> Revenue Service. Including information containing tax secrets (VAT </w:t>
      </w:r>
      <w:r>
        <w:rPr>
          <w:rFonts w:asciiTheme="minorHAnsi" w:hAnsiTheme="minorHAnsi"/>
        </w:rPr>
        <w:t>declaration</w:t>
      </w:r>
      <w:r w:rsidRPr="002C3BB7">
        <w:rPr>
          <w:rFonts w:asciiTheme="minorHAnsi" w:hAnsiTheme="minorHAnsi"/>
        </w:rPr>
        <w:t xml:space="preserve">, income tax </w:t>
      </w:r>
      <w:r>
        <w:rPr>
          <w:rFonts w:asciiTheme="minorHAnsi" w:hAnsiTheme="minorHAnsi"/>
        </w:rPr>
        <w:t>declaration</w:t>
      </w:r>
      <w:r>
        <w:rPr>
          <w:rFonts w:asciiTheme="minorHAnsi" w:hAnsiTheme="minorHAnsi"/>
        </w:rPr>
        <w:t>, etc.);</w:t>
      </w:r>
      <w:bookmarkStart w:id="10" w:name="_GoBack"/>
      <w:bookmarkEnd w:id="10"/>
    </w:p>
    <w:p w:rsidR="009A72FD" w:rsidRPr="002C3BB7" w:rsidRDefault="009A72FD" w:rsidP="009A72FD">
      <w:pPr>
        <w:pStyle w:val="ListParagraph"/>
        <w:ind w:left="0" w:firstLine="0"/>
        <w:jc w:val="both"/>
        <w:rPr>
          <w:rFonts w:asciiTheme="minorHAnsi" w:hAnsiTheme="minorHAnsi"/>
        </w:rPr>
      </w:pPr>
      <w:r w:rsidRPr="002C3BB7">
        <w:rPr>
          <w:rFonts w:asciiTheme="minorHAnsi" w:hAnsiTheme="minorHAnsi"/>
        </w:rPr>
        <w:t>The applicant agrees that the Agency shall request informat</w:t>
      </w:r>
      <w:r>
        <w:rPr>
          <w:rFonts w:asciiTheme="minorHAnsi" w:hAnsiTheme="minorHAnsi"/>
        </w:rPr>
        <w:t xml:space="preserve">ion related to the applicant from </w:t>
      </w:r>
      <w:r w:rsidRPr="002C3BB7">
        <w:rPr>
          <w:rFonts w:asciiTheme="minorHAnsi" w:hAnsiTheme="minorHAnsi"/>
        </w:rPr>
        <w:t>the information base of the State Service Development Agency. Including information related to personal data (name, surname, registration address, personal number, sex, date of birth).</w:t>
      </w:r>
    </w:p>
    <w:p w:rsidR="009A72FD" w:rsidRPr="007122C5" w:rsidRDefault="009A72FD"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Independent Investment Committee</w:t>
      </w:r>
    </w:p>
    <w:p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Financing</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accordance with the terms of </w:t>
      </w:r>
      <w:r>
        <w:rPr>
          <w:rFonts w:asciiTheme="minorHAnsi" w:hAnsiTheme="minorHAnsi"/>
        </w:rPr>
        <w:t>Startup Matching Grants</w:t>
      </w:r>
      <w:r w:rsidRPr="007122C5">
        <w:rPr>
          <w:rFonts w:asciiTheme="minorHAnsi" w:hAnsiTheme="minorHAnsi"/>
        </w:rPr>
        <w:t xml:space="preserve"> and the Financing Agreement and as per sound technical, economic, financial, managerial, environmental and social standards and practices acceptable to GITA and the World Bank, including compliance with the World Bank's Guidelines on Preventing and Combating Fraud and Corruption in Projects Financed by IBRD Loans and IDA Credits and Grants, dated  October 15, 2006 and revised in January 2011;</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 xml:space="preserve">sources, as set out in the Financing Agreement and will </w:t>
      </w:r>
      <w:r w:rsidRPr="007122C5">
        <w:rPr>
          <w:rFonts w:asciiTheme="minorHAnsi" w:hAnsiTheme="minorHAnsi"/>
        </w:rPr>
        <w:lastRenderedPageBreak/>
        <w:t>provide funds necessary for the implementation of the project in a timely manner;</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at the request of GITA, will ensure that the independent auditors acceptable to GITA and the World Bank will verify the submitted financial reports and financial statements, in accordance with applicable auditing standards;</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provide the quality financial and progress reports.</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Intellectual Property</w:t>
      </w:r>
    </w:p>
    <w:p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roofErr w:type="gramStart"/>
      <w:r w:rsidRPr="007122C5">
        <w:rPr>
          <w:rFonts w:asciiTheme="minorHAnsi" w:hAnsiTheme="minorHAnsi"/>
        </w:rPr>
        <w:t>.;</w:t>
      </w:r>
      <w:proofErr w:type="gramEnd"/>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Procurement</w:t>
      </w:r>
    </w:p>
    <w:p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rsidR="00F434CE" w:rsidRPr="007122C5" w:rsidRDefault="00F434CE" w:rsidP="00F434CE">
      <w:pPr>
        <w:jc w:val="both"/>
        <w:rPr>
          <w:rFonts w:asciiTheme="minorHAnsi" w:hAnsiTheme="minorHAnsi"/>
        </w:rPr>
      </w:pPr>
      <w:r w:rsidRPr="007122C5">
        <w:rPr>
          <w:rFonts w:asciiTheme="minorHAnsi" w:hAnsiTheme="minorHAnsi"/>
        </w:rPr>
        <w:t>The Applicant will ensure that no contract will be signed with the company that has been recorded on the World Bank debarred/suspended list. Furthermore, the Applicant's contract with suppliers and consultants will contain standard clauses of the World Bank relating to fraud and corruption;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Environment</w:t>
      </w:r>
    </w:p>
    <w:p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Frauds and corruption</w:t>
      </w:r>
    </w:p>
    <w:p w:rsidR="00F434CE" w:rsidRPr="007122C5" w:rsidRDefault="00F434CE" w:rsidP="00F434CE">
      <w:pPr>
        <w:jc w:val="both"/>
        <w:rPr>
          <w:rFonts w:asciiTheme="minorHAnsi" w:hAnsiTheme="minorHAnsi"/>
        </w:rPr>
      </w:pPr>
      <w:r w:rsidRPr="007122C5">
        <w:rPr>
          <w:rFonts w:asciiTheme="minorHAnsi" w:hAnsiTheme="minorHAnsi"/>
        </w:rPr>
        <w:t>The Applicant agrees to comply with the highest ethical standards both during the selection process and throughout the execution of the financing agreement. In pursuance of this policy, the World Bank defines the following terms set forth below:</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lastRenderedPageBreak/>
        <w:t>“coercive practices” is impairing or harming, or threatening to impair or harm, directly or indirectly, persons or their property to influence their participation in a procurement process, or affect the execution of a contract;</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 xml:space="preserve">“obstructive practice” </w:t>
      </w:r>
    </w:p>
    <w:p w:rsidR="00F434CE" w:rsidRPr="007122C5" w:rsidRDefault="00F434CE" w:rsidP="00F434CE">
      <w:pPr>
        <w:ind w:left="720"/>
        <w:jc w:val="both"/>
        <w:rPr>
          <w:rFonts w:asciiTheme="minorHAnsi" w:hAnsiTheme="minorHAnsi"/>
        </w:rPr>
      </w:pPr>
      <w:r w:rsidRPr="007122C5">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434CE" w:rsidRPr="007122C5" w:rsidRDefault="00F434CE" w:rsidP="00F434CE">
      <w:pPr>
        <w:ind w:left="720"/>
        <w:jc w:val="both"/>
        <w:rPr>
          <w:rFonts w:asciiTheme="minorHAnsi" w:hAnsiTheme="minorHAnsi"/>
        </w:rPr>
      </w:pPr>
      <w:r w:rsidRPr="007122C5">
        <w:rPr>
          <w:rFonts w:asciiTheme="minorHAnsi" w:hAnsiTheme="minorHAnsi"/>
        </w:rPr>
        <w:t>(bb) acts intended to materially impede the exercise of the World Bank’s inspection and audit rights.</w:t>
      </w:r>
    </w:p>
    <w:p w:rsidR="00F434CE" w:rsidRPr="007122C5" w:rsidRDefault="00F434CE" w:rsidP="00F434CE">
      <w:pPr>
        <w:jc w:val="both"/>
        <w:rPr>
          <w:rFonts w:asciiTheme="minorHAnsi" w:hAnsiTheme="minorHAnsi"/>
        </w:rPr>
      </w:pPr>
      <w:r w:rsidRPr="007122C5">
        <w:rPr>
          <w:rFonts w:asciiTheme="minorHAnsi" w:hAnsiTheme="minorHAnsi"/>
        </w:rPr>
        <w:t>The Applicant will adhere to the World Bank's Guidelines on Preventing and Combating Fraud and Corruption in Projects Financed by IBRD Loans and IDA Credits and Grants, dated October 15, 2006 and revised in January 2011 and the World Bank provisions as outlined in the Procurement Guidelines (paragraph 1.16) and Consultant Guidelines (paragraph 1.23) during the submission, evaluation and implementation of the project.</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Conflict of Interests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C59"/>
    <w:multiLevelType w:val="hybridMultilevel"/>
    <w:tmpl w:val="D3B8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CE"/>
    <w:rsid w:val="00072C6E"/>
    <w:rsid w:val="002C3BB7"/>
    <w:rsid w:val="005826B4"/>
    <w:rsid w:val="005E0843"/>
    <w:rsid w:val="0069132C"/>
    <w:rsid w:val="007F4848"/>
    <w:rsid w:val="009A72FD"/>
    <w:rsid w:val="00E62899"/>
    <w:rsid w:val="00F42912"/>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C7A"/>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paragraph" w:styleId="Heading2">
    <w:name w:val="heading 2"/>
    <w:basedOn w:val="Normal"/>
    <w:next w:val="Normal"/>
    <w:link w:val="Heading2Char"/>
    <w:uiPriority w:val="9"/>
    <w:semiHidden/>
    <w:unhideWhenUsed/>
    <w:qFormat/>
    <w:rsid w:val="002C3B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 w:type="character" w:customStyle="1" w:styleId="Heading2Char">
    <w:name w:val="Heading 2 Char"/>
    <w:basedOn w:val="DefaultParagraphFont"/>
    <w:link w:val="Heading2"/>
    <w:uiPriority w:val="9"/>
    <w:semiHidden/>
    <w:rsid w:val="002C3B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0103">
      <w:bodyDiv w:val="1"/>
      <w:marLeft w:val="0"/>
      <w:marRight w:val="0"/>
      <w:marTop w:val="0"/>
      <w:marBottom w:val="0"/>
      <w:divBdr>
        <w:top w:val="none" w:sz="0" w:space="0" w:color="auto"/>
        <w:left w:val="none" w:sz="0" w:space="0" w:color="auto"/>
        <w:bottom w:val="none" w:sz="0" w:space="0" w:color="auto"/>
        <w:right w:val="none" w:sz="0" w:space="0" w:color="auto"/>
      </w:divBdr>
      <w:divsChild>
        <w:div w:id="865827116">
          <w:marLeft w:val="0"/>
          <w:marRight w:val="0"/>
          <w:marTop w:val="0"/>
          <w:marBottom w:val="0"/>
          <w:divBdr>
            <w:top w:val="none" w:sz="0" w:space="0" w:color="auto"/>
            <w:left w:val="none" w:sz="0" w:space="0" w:color="auto"/>
            <w:bottom w:val="none" w:sz="0" w:space="0" w:color="auto"/>
            <w:right w:val="none" w:sz="0" w:space="0" w:color="auto"/>
          </w:divBdr>
          <w:divsChild>
            <w:div w:id="127554279">
              <w:marLeft w:val="0"/>
              <w:marRight w:val="0"/>
              <w:marTop w:val="0"/>
              <w:marBottom w:val="0"/>
              <w:divBdr>
                <w:top w:val="none" w:sz="0" w:space="0" w:color="auto"/>
                <w:left w:val="none" w:sz="0" w:space="0" w:color="auto"/>
                <w:bottom w:val="none" w:sz="0" w:space="0" w:color="auto"/>
                <w:right w:val="none" w:sz="0" w:space="0" w:color="auto"/>
              </w:divBdr>
            </w:div>
            <w:div w:id="60104370">
              <w:marLeft w:val="0"/>
              <w:marRight w:val="0"/>
              <w:marTop w:val="0"/>
              <w:marBottom w:val="0"/>
              <w:divBdr>
                <w:top w:val="none" w:sz="0" w:space="0" w:color="auto"/>
                <w:left w:val="none" w:sz="0" w:space="0" w:color="auto"/>
                <w:bottom w:val="none" w:sz="0" w:space="0" w:color="auto"/>
                <w:right w:val="none" w:sz="0" w:space="0" w:color="auto"/>
              </w:divBdr>
            </w:div>
          </w:divsChild>
        </w:div>
        <w:div w:id="290016753">
          <w:marLeft w:val="0"/>
          <w:marRight w:val="0"/>
          <w:marTop w:val="100"/>
          <w:marBottom w:val="0"/>
          <w:divBdr>
            <w:top w:val="none" w:sz="0" w:space="0" w:color="auto"/>
            <w:left w:val="none" w:sz="0" w:space="0" w:color="auto"/>
            <w:bottom w:val="none" w:sz="0" w:space="0" w:color="auto"/>
            <w:right w:val="none" w:sz="0" w:space="0" w:color="auto"/>
          </w:divBdr>
          <w:divsChild>
            <w:div w:id="827407861">
              <w:marLeft w:val="0"/>
              <w:marRight w:val="0"/>
              <w:marTop w:val="0"/>
              <w:marBottom w:val="0"/>
              <w:divBdr>
                <w:top w:val="none" w:sz="0" w:space="0" w:color="auto"/>
                <w:left w:val="none" w:sz="0" w:space="0" w:color="auto"/>
                <w:bottom w:val="none" w:sz="0" w:space="0" w:color="auto"/>
                <w:right w:val="none" w:sz="0" w:space="0" w:color="auto"/>
              </w:divBdr>
              <w:divsChild>
                <w:div w:id="1813214614">
                  <w:marLeft w:val="0"/>
                  <w:marRight w:val="0"/>
                  <w:marTop w:val="0"/>
                  <w:marBottom w:val="0"/>
                  <w:divBdr>
                    <w:top w:val="none" w:sz="0" w:space="0" w:color="auto"/>
                    <w:left w:val="none" w:sz="0" w:space="0" w:color="auto"/>
                    <w:bottom w:val="none" w:sz="0" w:space="0" w:color="auto"/>
                    <w:right w:val="none" w:sz="0" w:space="0" w:color="auto"/>
                  </w:divBdr>
                  <w:divsChild>
                    <w:div w:id="1115907799">
                      <w:marLeft w:val="0"/>
                      <w:marRight w:val="0"/>
                      <w:marTop w:val="0"/>
                      <w:marBottom w:val="0"/>
                      <w:divBdr>
                        <w:top w:val="none" w:sz="0" w:space="0" w:color="auto"/>
                        <w:left w:val="none" w:sz="0" w:space="0" w:color="auto"/>
                        <w:bottom w:val="none" w:sz="0" w:space="0" w:color="auto"/>
                        <w:right w:val="none" w:sz="0" w:space="0" w:color="auto"/>
                      </w:divBdr>
                      <w:divsChild>
                        <w:div w:id="124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10">
              <w:marLeft w:val="0"/>
              <w:marRight w:val="0"/>
              <w:marTop w:val="60"/>
              <w:marBottom w:val="0"/>
              <w:divBdr>
                <w:top w:val="none" w:sz="0" w:space="0" w:color="auto"/>
                <w:left w:val="none" w:sz="0" w:space="0" w:color="auto"/>
                <w:bottom w:val="none" w:sz="0" w:space="0" w:color="auto"/>
                <w:right w:val="none" w:sz="0" w:space="0" w:color="auto"/>
              </w:divBdr>
            </w:div>
          </w:divsChild>
        </w:div>
        <w:div w:id="1769739192">
          <w:marLeft w:val="0"/>
          <w:marRight w:val="0"/>
          <w:marTop w:val="0"/>
          <w:marBottom w:val="0"/>
          <w:divBdr>
            <w:top w:val="none" w:sz="0" w:space="0" w:color="auto"/>
            <w:left w:val="none" w:sz="0" w:space="0" w:color="auto"/>
            <w:bottom w:val="none" w:sz="0" w:space="0" w:color="auto"/>
            <w:right w:val="none" w:sz="0" w:space="0" w:color="auto"/>
          </w:divBdr>
          <w:divsChild>
            <w:div w:id="794057373">
              <w:marLeft w:val="0"/>
              <w:marRight w:val="0"/>
              <w:marTop w:val="0"/>
              <w:marBottom w:val="0"/>
              <w:divBdr>
                <w:top w:val="none" w:sz="0" w:space="0" w:color="auto"/>
                <w:left w:val="none" w:sz="0" w:space="0" w:color="auto"/>
                <w:bottom w:val="none" w:sz="0" w:space="0" w:color="auto"/>
                <w:right w:val="none" w:sz="0" w:space="0" w:color="auto"/>
              </w:divBdr>
              <w:divsChild>
                <w:div w:id="1051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Giorgi Bagashvili</cp:lastModifiedBy>
  <cp:revision>5</cp:revision>
  <dcterms:created xsi:type="dcterms:W3CDTF">2021-06-22T15:09:00Z</dcterms:created>
  <dcterms:modified xsi:type="dcterms:W3CDTF">2021-06-22T15:19:00Z</dcterms:modified>
</cp:coreProperties>
</file>